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Calibri" w:cs="Calibri" w:eastAsia="Calibri" w:hAnsi="Calibri"/>
          <w:b w:val="1"/>
          <w:color w:val="0d4170"/>
          <w:sz w:val="56"/>
          <w:szCs w:val="56"/>
        </w:rPr>
      </w:pPr>
      <w:r w:rsidDel="00000000" w:rsidR="00000000" w:rsidRPr="00000000">
        <w:rPr>
          <w:rFonts w:ascii="Calibri" w:cs="Calibri" w:eastAsia="Calibri" w:hAnsi="Calibri"/>
          <w:b w:val="1"/>
          <w:color w:val="0d4170"/>
          <w:sz w:val="56"/>
          <w:szCs w:val="56"/>
        </w:rPr>
        <w:drawing>
          <wp:inline distB="19050" distT="19050" distL="19050" distR="19050">
            <wp:extent cx="1327775" cy="1128550"/>
            <wp:effectExtent b="0" l="0" r="0" t="0"/>
            <wp:docPr id="1" name="image1.jpg"/>
            <a:graphic>
              <a:graphicData uri="http://schemas.openxmlformats.org/drawingml/2006/picture">
                <pic:pic>
                  <pic:nvPicPr>
                    <pic:cNvPr id="0" name="image1.jpg"/>
                    <pic:cNvPicPr preferRelativeResize="0"/>
                  </pic:nvPicPr>
                  <pic:blipFill>
                    <a:blip r:embed="rId6"/>
                    <a:srcRect b="0" l="33333" r="0" t="0"/>
                    <a:stretch>
                      <a:fillRect/>
                    </a:stretch>
                  </pic:blipFill>
                  <pic:spPr>
                    <a:xfrm>
                      <a:off x="0" y="0"/>
                      <a:ext cx="1327775" cy="11285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Calibri" w:cs="Calibri" w:eastAsia="Calibri" w:hAnsi="Calibri"/>
          <w:b w:val="1"/>
          <w:color w:val="0d4170"/>
          <w:sz w:val="56"/>
          <w:szCs w:val="56"/>
        </w:rPr>
      </w:pPr>
      <w:r w:rsidDel="00000000" w:rsidR="00000000" w:rsidRPr="00000000">
        <w:rPr>
          <w:rFonts w:ascii="Calibri" w:cs="Calibri" w:eastAsia="Calibri" w:hAnsi="Calibri"/>
          <w:b w:val="1"/>
          <w:color w:val="0d4170"/>
          <w:sz w:val="56"/>
          <w:szCs w:val="56"/>
          <w:rtl w:val="0"/>
        </w:rPr>
        <w:t xml:space="preserve">Case Scenario: Dominic</w:t>
      </w:r>
    </w:p>
    <w:p w:rsidR="00000000" w:rsidDel="00000000" w:rsidP="00000000" w:rsidRDefault="00000000" w:rsidRPr="00000000" w14:paraId="00000003">
      <w:pPr>
        <w:widowControl w:val="0"/>
        <w:spacing w:line="240" w:lineRule="auto"/>
        <w:jc w:val="center"/>
        <w:rPr>
          <w:rFonts w:ascii="Calibri" w:cs="Calibri" w:eastAsia="Calibri" w:hAnsi="Calibri"/>
          <w:b w:val="1"/>
          <w:color w:val="0d4170"/>
          <w:sz w:val="30"/>
          <w:szCs w:val="30"/>
        </w:rPr>
      </w:pPr>
      <w:r w:rsidDel="00000000" w:rsidR="00000000" w:rsidRPr="00000000">
        <w:rPr>
          <w:rtl w:val="0"/>
        </w:rPr>
      </w:r>
    </w:p>
    <w:p w:rsidR="00000000" w:rsidDel="00000000" w:rsidP="00000000" w:rsidRDefault="00000000" w:rsidRPr="00000000" w14:paraId="00000004">
      <w:pPr>
        <w:widowControl w:val="0"/>
        <w:spacing w:line="192.00000000000003" w:lineRule="auto"/>
        <w:rPr>
          <w:sz w:val="6"/>
          <w:szCs w:val="6"/>
        </w:rPr>
      </w:pPr>
      <w:r w:rsidDel="00000000" w:rsidR="00000000" w:rsidRPr="00000000">
        <w:rPr>
          <w:rFonts w:ascii="Calibri" w:cs="Calibri" w:eastAsia="Calibri" w:hAnsi="Calibri"/>
          <w:sz w:val="44"/>
          <w:szCs w:val="44"/>
          <w:rtl w:val="0"/>
        </w:rPr>
        <w:t xml:space="preserve">Dominic is a high school student who has an identified intellectual disability. In his Algebra class, Dominic often makes mistakes when multiplying or dividing large numbers with decimals. After documenting classroom observations and collecting in-class and homework examples of Dominic’s work, his teacher suggested that he use a calculator. Since using this tool, Dominic is having more success in arriving at correct answers, and solving complex math problems. </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5">
    <w:pPr>
      <w:rPr/>
    </w:pPr>
    <w:r w:rsidDel="00000000" w:rsidR="00000000" w:rsidRPr="00000000">
      <w:rPr>
        <w:rtl w:val="0"/>
      </w:rPr>
      <w:t xml:space="preserve">Handout #9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